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2B4D"/>
          <w:sz w:val="40"/>
        </w:rPr>
        <w:t>LearnAssist VPAT / Accessibility Conformance Report Readiness Checklist</w:t>
      </w:r>
    </w:p>
    <w:p>
      <w:pPr>
        <w:jc w:val="center"/>
      </w:pPr>
      <w:r>
        <w:rPr>
          <w:color w:val="5A5A5A"/>
          <w:sz w:val="21"/>
        </w:rPr>
        <w:t>Academic Companion Avatar • Brightspace / Higher Education Accessibility Review</w:t>
      </w:r>
    </w:p>
    <w:p>
      <w:pPr>
        <w:jc w:val="center"/>
      </w:pPr>
      <w:r>
        <w:rPr>
          <w:b/>
          <w:color w:val="B78B30"/>
        </w:rPr>
        <w:t>Target planning standard: WCAG 2.2 Level AA</w:t>
      </w:r>
    </w:p>
    <w:p>
      <w:pPr>
        <w:pStyle w:val="Heading1"/>
      </w:pPr>
      <w:r>
        <w:t>Purpose and Important Limitation</w:t>
      </w:r>
    </w:p>
    <w:p>
      <w:r>
        <w:t>This document is a readiness and evidence-collection checklist for preparing a future VPAT-based Accessibility Conformance Report (ACR). It does not declare that LearnAssist, AKOOL, Brightspace, or the integrated experience conforms to WCAG 2.2 Level AA, Section 508, or any other accessibility standard. A formal ACR should be completed only after the applicable product components and integrated user journeys have been evaluated.</w:t>
      </w:r>
    </w:p>
    <w:p>
      <w:r>
        <w:t>WCAG 2.2 Level AA requires satisfaction of all applicable Level A and Level AA success criteria. Testing should include automated checks and manual evaluation, including keyboard-only and assistive-technology testing.</w:t>
      </w:r>
    </w:p>
    <w:p>
      <w:pPr>
        <w:pStyle w:val="Heading1"/>
      </w:pPr>
      <w:r>
        <w:t>1. Accessibility Responsibility Map</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17304D"/>
          </w:tcPr>
          <w:p>
            <w:r>
              <w:rPr>
                <w:b/>
                <w:color w:val="FFFFFF"/>
                <w:sz w:val="17"/>
              </w:rPr>
              <w:t>Component</w:t>
            </w:r>
          </w:p>
        </w:tc>
        <w:tc>
          <w:tcPr>
            <w:tcW w:type="dxa" w:w="2592"/>
            <w:shd w:fill="17304D"/>
          </w:tcPr>
          <w:p>
            <w:r>
              <w:rPr>
                <w:b/>
                <w:color w:val="FFFFFF"/>
                <w:sz w:val="17"/>
              </w:rPr>
              <w:t>Examples</w:t>
            </w:r>
          </w:p>
        </w:tc>
        <w:tc>
          <w:tcPr>
            <w:tcW w:type="dxa" w:w="2592"/>
            <w:shd w:fill="17304D"/>
          </w:tcPr>
          <w:p>
            <w:r>
              <w:rPr>
                <w:b/>
                <w:color w:val="FFFFFF"/>
                <w:sz w:val="17"/>
              </w:rPr>
              <w:t>Primary Owner</w:t>
            </w:r>
          </w:p>
        </w:tc>
        <w:tc>
          <w:tcPr>
            <w:tcW w:type="dxa" w:w="2592"/>
            <w:shd w:fill="17304D"/>
          </w:tcPr>
          <w:p>
            <w:r>
              <w:rPr>
                <w:b/>
                <w:color w:val="FFFFFF"/>
                <w:sz w:val="17"/>
              </w:rPr>
              <w:t>Readiness Status</w:t>
            </w:r>
          </w:p>
        </w:tc>
      </w:tr>
      <w:tr>
        <w:tc>
          <w:tcPr>
            <w:tcW w:type="dxa" w:w="2592"/>
            <w:tcMar>
              <w:top w:w="65" w:type="dxa"/>
              <w:start w:w="65" w:type="dxa"/>
              <w:bottom w:w="65" w:type="dxa"/>
              <w:end w:w="65" w:type="dxa"/>
            </w:tcMar>
          </w:tcPr>
          <w:p>
            <w:r>
              <w:rPr>
                <w:sz w:val="16"/>
              </w:rPr>
              <w:t>LearnAssist-controlled UI</w:t>
            </w:r>
          </w:p>
        </w:tc>
        <w:tc>
          <w:tcPr>
            <w:tcW w:type="dxa" w:w="2592"/>
            <w:tcMar>
              <w:top w:w="65" w:type="dxa"/>
              <w:start w:w="65" w:type="dxa"/>
              <w:bottom w:w="65" w:type="dxa"/>
              <w:end w:w="65" w:type="dxa"/>
            </w:tcMar>
          </w:tcPr>
          <w:p>
            <w:r>
              <w:rPr>
                <w:sz w:val="16"/>
              </w:rPr>
              <w:t>Navigation, labels, forms, instructions, generated text presentation, focus behavior, error messages, color/contrast, responsive behavior.</w:t>
            </w:r>
          </w:p>
        </w:tc>
        <w:tc>
          <w:tcPr>
            <w:tcW w:type="dxa" w:w="2592"/>
            <w:tcMar>
              <w:top w:w="65" w:type="dxa"/>
              <w:start w:w="65" w:type="dxa"/>
              <w:bottom w:w="65" w:type="dxa"/>
              <w:end w:w="65" w:type="dxa"/>
            </w:tcMar>
          </w:tcPr>
          <w:p>
            <w:r>
              <w:rPr>
                <w:sz w:val="16"/>
              </w:rPr>
              <w:t>LearnAssist</w:t>
            </w:r>
          </w:p>
        </w:tc>
        <w:tc>
          <w:tcPr>
            <w:tcW w:type="dxa" w:w="2592"/>
            <w:tcMar>
              <w:top w:w="65" w:type="dxa"/>
              <w:start w:w="65" w:type="dxa"/>
              <w:bottom w:w="65" w:type="dxa"/>
              <w:end w:w="65" w:type="dxa"/>
            </w:tcMar>
          </w:tcPr>
          <w:p>
            <w:r>
              <w:rPr>
                <w:sz w:val="16"/>
              </w:rPr>
              <w:t>Evaluate &amp; document</w:t>
            </w:r>
          </w:p>
        </w:tc>
      </w:tr>
      <w:tr>
        <w:tc>
          <w:tcPr>
            <w:tcW w:type="dxa" w:w="2592"/>
            <w:tcMar>
              <w:top w:w="65" w:type="dxa"/>
              <w:start w:w="65" w:type="dxa"/>
              <w:bottom w:w="65" w:type="dxa"/>
              <w:end w:w="65" w:type="dxa"/>
            </w:tcMar>
          </w:tcPr>
          <w:p>
            <w:r>
              <w:rPr>
                <w:sz w:val="16"/>
              </w:rPr>
              <w:t>AKOOL-controlled avatar components</w:t>
            </w:r>
          </w:p>
        </w:tc>
        <w:tc>
          <w:tcPr>
            <w:tcW w:type="dxa" w:w="2592"/>
            <w:tcMar>
              <w:top w:w="65" w:type="dxa"/>
              <w:start w:w="65" w:type="dxa"/>
              <w:bottom w:w="65" w:type="dxa"/>
              <w:end w:w="65" w:type="dxa"/>
            </w:tcMar>
          </w:tcPr>
          <w:p>
            <w:r>
              <w:rPr>
                <w:sz w:val="16"/>
              </w:rPr>
              <w:t>Avatar/video player, microphone/camera controls, streaming controls, media behavior, vendor-hosted interaction components.</w:t>
            </w:r>
          </w:p>
        </w:tc>
        <w:tc>
          <w:tcPr>
            <w:tcW w:type="dxa" w:w="2592"/>
            <w:tcMar>
              <w:top w:w="65" w:type="dxa"/>
              <w:start w:w="65" w:type="dxa"/>
              <w:bottom w:w="65" w:type="dxa"/>
              <w:end w:w="65" w:type="dxa"/>
            </w:tcMar>
          </w:tcPr>
          <w:p>
            <w:r>
              <w:rPr>
                <w:sz w:val="16"/>
              </w:rPr>
              <w:t>AKOOL + LearnAssist</w:t>
            </w:r>
          </w:p>
        </w:tc>
        <w:tc>
          <w:tcPr>
            <w:tcW w:type="dxa" w:w="2592"/>
            <w:tcMar>
              <w:top w:w="65" w:type="dxa"/>
              <w:start w:w="65" w:type="dxa"/>
              <w:bottom w:w="65" w:type="dxa"/>
              <w:end w:w="65" w:type="dxa"/>
            </w:tcMar>
          </w:tcPr>
          <w:p>
            <w:r>
              <w:rPr>
                <w:sz w:val="16"/>
              </w:rPr>
              <w:t>Request ACR/VPAT; independently validate integration</w:t>
            </w:r>
          </w:p>
        </w:tc>
      </w:tr>
      <w:tr>
        <w:tc>
          <w:tcPr>
            <w:tcW w:type="dxa" w:w="2592"/>
            <w:tcMar>
              <w:top w:w="65" w:type="dxa"/>
              <w:start w:w="65" w:type="dxa"/>
              <w:bottom w:w="65" w:type="dxa"/>
              <w:end w:w="65" w:type="dxa"/>
            </w:tcMar>
          </w:tcPr>
          <w:p>
            <w:r>
              <w:rPr>
                <w:sz w:val="16"/>
              </w:rPr>
              <w:t>Brightspace host experience</w:t>
            </w:r>
          </w:p>
        </w:tc>
        <w:tc>
          <w:tcPr>
            <w:tcW w:type="dxa" w:w="2592"/>
            <w:tcMar>
              <w:top w:w="65" w:type="dxa"/>
              <w:start w:w="65" w:type="dxa"/>
              <w:bottom w:w="65" w:type="dxa"/>
              <w:end w:w="65" w:type="dxa"/>
            </w:tcMar>
          </w:tcPr>
          <w:p>
            <w:r>
              <w:rPr>
                <w:sz w:val="16"/>
              </w:rPr>
              <w:t>Course placement, LMS navigation, launch link, surrounding Brightspace experience.</w:t>
            </w:r>
          </w:p>
        </w:tc>
        <w:tc>
          <w:tcPr>
            <w:tcW w:type="dxa" w:w="2592"/>
            <w:tcMar>
              <w:top w:w="65" w:type="dxa"/>
              <w:start w:w="65" w:type="dxa"/>
              <w:bottom w:w="65" w:type="dxa"/>
              <w:end w:w="65" w:type="dxa"/>
            </w:tcMar>
          </w:tcPr>
          <w:p>
            <w:r>
              <w:rPr>
                <w:sz w:val="16"/>
              </w:rPr>
              <w:t>Institution / D2L</w:t>
            </w:r>
          </w:p>
        </w:tc>
        <w:tc>
          <w:tcPr>
            <w:tcW w:type="dxa" w:w="2592"/>
            <w:tcMar>
              <w:top w:w="65" w:type="dxa"/>
              <w:start w:w="65" w:type="dxa"/>
              <w:bottom w:w="65" w:type="dxa"/>
              <w:end w:w="65" w:type="dxa"/>
            </w:tcMar>
          </w:tcPr>
          <w:p>
            <w:r>
              <w:rPr>
                <w:sz w:val="16"/>
              </w:rPr>
              <w:t>Institutional review</w:t>
            </w:r>
          </w:p>
        </w:tc>
      </w:tr>
      <w:tr>
        <w:tc>
          <w:tcPr>
            <w:tcW w:type="dxa" w:w="2592"/>
            <w:tcMar>
              <w:top w:w="65" w:type="dxa"/>
              <w:start w:w="65" w:type="dxa"/>
              <w:bottom w:w="65" w:type="dxa"/>
              <w:end w:w="65" w:type="dxa"/>
            </w:tcMar>
          </w:tcPr>
          <w:p>
            <w:r>
              <w:rPr>
                <w:sz w:val="16"/>
              </w:rPr>
              <w:t>Integrated workflow</w:t>
            </w:r>
          </w:p>
        </w:tc>
        <w:tc>
          <w:tcPr>
            <w:tcW w:type="dxa" w:w="2592"/>
            <w:tcMar>
              <w:top w:w="65" w:type="dxa"/>
              <w:start w:w="65" w:type="dxa"/>
              <w:bottom w:w="65" w:type="dxa"/>
              <w:end w:w="65" w:type="dxa"/>
            </w:tcMar>
          </w:tcPr>
          <w:p>
            <w:r>
              <w:rPr>
                <w:sz w:val="16"/>
              </w:rPr>
              <w:t>LTI/SSO launch, focus transfer, iframe/new-window behavior, authentication, return to course, errors/session timeouts.</w:t>
            </w:r>
          </w:p>
        </w:tc>
        <w:tc>
          <w:tcPr>
            <w:tcW w:type="dxa" w:w="2592"/>
            <w:tcMar>
              <w:top w:w="65" w:type="dxa"/>
              <w:start w:w="65" w:type="dxa"/>
              <w:bottom w:w="65" w:type="dxa"/>
              <w:end w:w="65" w:type="dxa"/>
            </w:tcMar>
          </w:tcPr>
          <w:p>
            <w:r>
              <w:rPr>
                <w:sz w:val="16"/>
              </w:rPr>
              <w:t>LearnAssist + Institution</w:t>
            </w:r>
          </w:p>
        </w:tc>
        <w:tc>
          <w:tcPr>
            <w:tcW w:type="dxa" w:w="2592"/>
            <w:tcMar>
              <w:top w:w="65" w:type="dxa"/>
              <w:start w:w="65" w:type="dxa"/>
              <w:bottom w:w="65" w:type="dxa"/>
              <w:end w:w="65" w:type="dxa"/>
            </w:tcMar>
          </w:tcPr>
          <w:p>
            <w:r>
              <w:rPr>
                <w:sz w:val="16"/>
              </w:rPr>
              <w:t>End-to-end testing required</w:t>
            </w:r>
          </w:p>
        </w:tc>
      </w:tr>
      <w:tr>
        <w:tc>
          <w:tcPr>
            <w:tcW w:type="dxa" w:w="2592"/>
            <w:tcMar>
              <w:top w:w="65" w:type="dxa"/>
              <w:start w:w="65" w:type="dxa"/>
              <w:bottom w:w="65" w:type="dxa"/>
              <w:end w:w="65" w:type="dxa"/>
            </w:tcMar>
          </w:tcPr>
          <w:p>
            <w:r>
              <w:rPr>
                <w:sz w:val="16"/>
              </w:rPr>
              <w:t>Faculty-created course content</w:t>
            </w:r>
          </w:p>
        </w:tc>
        <w:tc>
          <w:tcPr>
            <w:tcW w:type="dxa" w:w="2592"/>
            <w:tcMar>
              <w:top w:w="65" w:type="dxa"/>
              <w:start w:w="65" w:type="dxa"/>
              <w:bottom w:w="65" w:type="dxa"/>
              <w:end w:w="65" w:type="dxa"/>
            </w:tcMar>
          </w:tcPr>
          <w:p>
            <w:r>
              <w:rPr>
                <w:sz w:val="16"/>
              </w:rPr>
              <w:t>Documents, images, videos, links, alt text, captions, headings, tables.</w:t>
            </w:r>
          </w:p>
        </w:tc>
        <w:tc>
          <w:tcPr>
            <w:tcW w:type="dxa" w:w="2592"/>
            <w:tcMar>
              <w:top w:w="65" w:type="dxa"/>
              <w:start w:w="65" w:type="dxa"/>
              <w:bottom w:w="65" w:type="dxa"/>
              <w:end w:w="65" w:type="dxa"/>
            </w:tcMar>
          </w:tcPr>
          <w:p>
            <w:r>
              <w:rPr>
                <w:sz w:val="16"/>
              </w:rPr>
              <w:t>Faculty / Institution</w:t>
            </w:r>
          </w:p>
        </w:tc>
        <w:tc>
          <w:tcPr>
            <w:tcW w:type="dxa" w:w="2592"/>
            <w:tcMar>
              <w:top w:w="65" w:type="dxa"/>
              <w:start w:w="65" w:type="dxa"/>
              <w:bottom w:w="65" w:type="dxa"/>
              <w:end w:w="65" w:type="dxa"/>
            </w:tcMar>
          </w:tcPr>
          <w:p>
            <w:r>
              <w:rPr>
                <w:sz w:val="16"/>
              </w:rPr>
              <w:t>Content governance &amp; training</w:t>
            </w:r>
          </w:p>
        </w:tc>
      </w:tr>
    </w:tbl>
    <w:p>
      <w:pPr>
        <w:pStyle w:val="Heading1"/>
      </w:pPr>
      <w:r>
        <w:t>2. Evidence to Request from AKOOL</w:t>
      </w:r>
    </w:p>
    <w:p>
      <w:pPr>
        <w:spacing w:after="40"/>
      </w:pPr>
      <w:r>
        <w:t>☐ Current VPAT or Accessibility Conformance Report (ACR), including the standards/version evaluated.</w:t>
      </w:r>
    </w:p>
    <w:p>
      <w:pPr>
        <w:spacing w:after="40"/>
      </w:pPr>
      <w:r>
        <w:t>☐ WCAG 2.1 or WCAG 2.2 accessibility test report if no ACR is available.</w:t>
      </w:r>
    </w:p>
    <w:p>
      <w:pPr>
        <w:spacing w:after="40"/>
      </w:pPr>
      <w:r>
        <w:t>☐ Scope of accessibility testing for Streaming Avatar/API-based avatar components.</w:t>
      </w:r>
    </w:p>
    <w:p>
      <w:pPr>
        <w:spacing w:after="40"/>
      </w:pPr>
      <w:r>
        <w:t>☐ Known accessibility limitations and remediation roadmap.</w:t>
      </w:r>
    </w:p>
    <w:p>
      <w:pPr>
        <w:spacing w:after="40"/>
      </w:pPr>
      <w:r>
        <w:t>☐ Keyboard-only navigation test results.</w:t>
      </w:r>
    </w:p>
    <w:p>
      <w:pPr>
        <w:spacing w:after="40"/>
      </w:pPr>
      <w:r>
        <w:t>☐ Screen-reader compatibility information and tested browser/assistive-technology combinations.</w:t>
      </w:r>
    </w:p>
    <w:p>
      <w:pPr>
        <w:spacing w:after="40"/>
      </w:pPr>
      <w:r>
        <w:t>☐ Caption/transcript support for time-based media and avatar speech.</w:t>
      </w:r>
    </w:p>
    <w:p>
      <w:pPr>
        <w:spacing w:after="40"/>
      </w:pPr>
      <w:r>
        <w:t>☐ Accessibility of microphone, camera, audio, video, mute, stop, replay, and other media controls.</w:t>
      </w:r>
    </w:p>
    <w:p>
      <w:pPr>
        <w:spacing w:after="40"/>
      </w:pPr>
      <w:r>
        <w:t>☐ Documentation for animation/motion controls and any flashing content.</w:t>
      </w:r>
    </w:p>
    <w:p>
      <w:pPr>
        <w:spacing w:after="40"/>
      </w:pPr>
      <w:r>
        <w:t>☐ Color-contrast and non-color indicator evidence for vendor-controlled UI.</w:t>
      </w:r>
    </w:p>
    <w:p>
      <w:pPr>
        <w:spacing w:after="40"/>
      </w:pPr>
      <w:r>
        <w:t>☐ Accessibility documentation for error/status messages and dynamic content updates.</w:t>
      </w:r>
    </w:p>
    <w:p>
      <w:pPr>
        <w:spacing w:after="40"/>
      </w:pPr>
      <w:r>
        <w:t>☐ Accessibility contact/process for reporting defects and requesting remediation.</w:t>
      </w:r>
    </w:p>
    <w:p>
      <w:pPr>
        <w:pStyle w:val="Heading1"/>
      </w:pPr>
      <w:r>
        <w:t>3. WCAG 2.2 A/AA Readiness Matrix</w:t>
      </w:r>
    </w:p>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c>
          <w:tcPr>
            <w:tcW w:type="dxa" w:w="1728"/>
            <w:shd w:fill="17304D"/>
          </w:tcPr>
          <w:p>
            <w:r>
              <w:rPr>
                <w:b/>
                <w:color w:val="FFFFFF"/>
                <w:sz w:val="17"/>
              </w:rPr>
              <w:t>SC</w:t>
            </w:r>
          </w:p>
        </w:tc>
        <w:tc>
          <w:tcPr>
            <w:tcW w:type="dxa" w:w="1728"/>
            <w:shd w:fill="17304D"/>
          </w:tcPr>
          <w:p>
            <w:r>
              <w:rPr>
                <w:b/>
                <w:color w:val="FFFFFF"/>
                <w:sz w:val="17"/>
              </w:rPr>
              <w:t>Level</w:t>
            </w:r>
          </w:p>
        </w:tc>
        <w:tc>
          <w:tcPr>
            <w:tcW w:type="dxa" w:w="1728"/>
            <w:shd w:fill="17304D"/>
          </w:tcPr>
          <w:p>
            <w:r>
              <w:rPr>
                <w:b/>
                <w:color w:val="FFFFFF"/>
                <w:sz w:val="17"/>
              </w:rPr>
              <w:t>Criterion</w:t>
            </w:r>
          </w:p>
        </w:tc>
        <w:tc>
          <w:tcPr>
            <w:tcW w:type="dxa" w:w="1728"/>
            <w:shd w:fill="17304D"/>
          </w:tcPr>
          <w:p>
            <w:r>
              <w:rPr>
                <w:b/>
                <w:color w:val="FFFFFF"/>
                <w:sz w:val="17"/>
              </w:rPr>
              <w:t>What to Verify</w:t>
            </w:r>
          </w:p>
        </w:tc>
        <w:tc>
          <w:tcPr>
            <w:tcW w:type="dxa" w:w="1728"/>
            <w:shd w:fill="17304D"/>
          </w:tcPr>
          <w:p>
            <w:r>
              <w:rPr>
                <w:b/>
                <w:color w:val="FFFFFF"/>
                <w:sz w:val="17"/>
              </w:rPr>
              <w:t>Owner</w:t>
            </w:r>
          </w:p>
        </w:tc>
        <w:tc>
          <w:tcPr>
            <w:tcW w:type="dxa" w:w="1728"/>
            <w:shd w:fill="17304D"/>
          </w:tcPr>
          <w:p>
            <w:r>
              <w:rPr>
                <w:b/>
                <w:color w:val="FFFFFF"/>
                <w:sz w:val="17"/>
              </w:rPr>
              <w:t>Finding</w:t>
            </w:r>
          </w:p>
        </w:tc>
      </w:tr>
      <w:tr>
        <w:tc>
          <w:tcPr>
            <w:tcW w:type="dxa" w:w="1728"/>
            <w:tcMar>
              <w:top w:w="65" w:type="dxa"/>
              <w:start w:w="65" w:type="dxa"/>
              <w:bottom w:w="65" w:type="dxa"/>
              <w:end w:w="65" w:type="dxa"/>
            </w:tcMar>
          </w:tcPr>
          <w:p>
            <w:r>
              <w:rPr>
                <w:sz w:val="16"/>
              </w:rPr>
              <w:t>1.1.1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Non-text Content</w:t>
            </w:r>
          </w:p>
        </w:tc>
        <w:tc>
          <w:tcPr>
            <w:tcW w:type="dxa" w:w="1728"/>
            <w:tcMar>
              <w:top w:w="65" w:type="dxa"/>
              <w:start w:w="65" w:type="dxa"/>
              <w:bottom w:w="65" w:type="dxa"/>
              <w:end w:w="65" w:type="dxa"/>
            </w:tcMar>
          </w:tcPr>
          <w:p>
            <w:r>
              <w:rPr>
                <w:sz w:val="16"/>
              </w:rPr>
              <w:t>Images/icons/controls have equivalent text alternatives; decorative content is ignored appropriately.</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1.2.1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Audio-only and Video-only (Prerecorded)</w:t>
            </w:r>
          </w:p>
        </w:tc>
        <w:tc>
          <w:tcPr>
            <w:tcW w:type="dxa" w:w="1728"/>
            <w:tcMar>
              <w:top w:w="65" w:type="dxa"/>
              <w:start w:w="65" w:type="dxa"/>
              <w:bottom w:w="65" w:type="dxa"/>
              <w:end w:w="65" w:type="dxa"/>
            </w:tcMar>
          </w:tcPr>
          <w:p>
            <w:r>
              <w:rPr>
                <w:sz w:val="16"/>
              </w:rPr>
              <w:t>Provide equivalent alternatives when applicable.</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1.2.2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Captions (Prerecorded)</w:t>
            </w:r>
          </w:p>
        </w:tc>
        <w:tc>
          <w:tcPr>
            <w:tcW w:type="dxa" w:w="1728"/>
            <w:tcMar>
              <w:top w:w="65" w:type="dxa"/>
              <w:start w:w="65" w:type="dxa"/>
              <w:bottom w:w="65" w:type="dxa"/>
              <w:end w:w="65" w:type="dxa"/>
            </w:tcMar>
          </w:tcPr>
          <w:p>
            <w:r>
              <w:rPr>
                <w:sz w:val="16"/>
              </w:rPr>
              <w:t>Prerecorded synchronized media has captions.</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1.2.3</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Audio Description or Media Alternative (Prerecorded)</w:t>
            </w:r>
          </w:p>
        </w:tc>
        <w:tc>
          <w:tcPr>
            <w:tcW w:type="dxa" w:w="1728"/>
            <w:tcMar>
              <w:top w:w="65" w:type="dxa"/>
              <w:start w:w="65" w:type="dxa"/>
              <w:bottom w:w="65" w:type="dxa"/>
              <w:end w:w="65" w:type="dxa"/>
            </w:tcMar>
          </w:tcPr>
          <w:p>
            <w:r>
              <w:rPr>
                <w:sz w:val="16"/>
              </w:rPr>
              <w:t>Provide audio description or a media alternative where applicable.</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1.2.4</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Captions (Live)</w:t>
            </w:r>
          </w:p>
        </w:tc>
        <w:tc>
          <w:tcPr>
            <w:tcW w:type="dxa" w:w="1728"/>
            <w:tcMar>
              <w:top w:w="65" w:type="dxa"/>
              <w:start w:w="65" w:type="dxa"/>
              <w:bottom w:w="65" w:type="dxa"/>
              <w:end w:w="65" w:type="dxa"/>
            </w:tcMar>
          </w:tcPr>
          <w:p>
            <w:r>
              <w:rPr>
                <w:sz w:val="16"/>
              </w:rPr>
              <w:t>Live synchronized media has captions where applicable.</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1.2.5</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Audio Description (Prerecorded)</w:t>
            </w:r>
          </w:p>
        </w:tc>
        <w:tc>
          <w:tcPr>
            <w:tcW w:type="dxa" w:w="1728"/>
            <w:tcMar>
              <w:top w:w="65" w:type="dxa"/>
              <w:start w:w="65" w:type="dxa"/>
              <w:bottom w:w="65" w:type="dxa"/>
              <w:end w:w="65" w:type="dxa"/>
            </w:tcMar>
          </w:tcPr>
          <w:p>
            <w:r>
              <w:rPr>
                <w:sz w:val="16"/>
              </w:rPr>
              <w:t>Prerecorded video includes audio description when visual information is needed.</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1.3.1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Info and Relationships</w:t>
            </w:r>
          </w:p>
        </w:tc>
        <w:tc>
          <w:tcPr>
            <w:tcW w:type="dxa" w:w="1728"/>
            <w:tcMar>
              <w:top w:w="65" w:type="dxa"/>
              <w:start w:w="65" w:type="dxa"/>
              <w:bottom w:w="65" w:type="dxa"/>
              <w:end w:w="65" w:type="dxa"/>
            </w:tcMar>
          </w:tcPr>
          <w:p>
            <w:r>
              <w:rPr>
                <w:sz w:val="16"/>
              </w:rPr>
              <w:t>Headings, labels, lists, tables, and relationships are programmatically conveyed.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1.3.2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Meaningful Sequence</w:t>
            </w:r>
          </w:p>
        </w:tc>
        <w:tc>
          <w:tcPr>
            <w:tcW w:type="dxa" w:w="1728"/>
            <w:tcMar>
              <w:top w:w="65" w:type="dxa"/>
              <w:start w:w="65" w:type="dxa"/>
              <w:bottom w:w="65" w:type="dxa"/>
              <w:end w:w="65" w:type="dxa"/>
            </w:tcMar>
          </w:tcPr>
          <w:p>
            <w:r>
              <w:rPr>
                <w:sz w:val="16"/>
              </w:rPr>
              <w:t>Reading and focus-related content sequence preserves meaning.</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1.3.3</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Sensory Characteristics</w:t>
            </w:r>
          </w:p>
        </w:tc>
        <w:tc>
          <w:tcPr>
            <w:tcW w:type="dxa" w:w="1728"/>
            <w:tcMar>
              <w:top w:w="65" w:type="dxa"/>
              <w:start w:w="65" w:type="dxa"/>
              <w:bottom w:w="65" w:type="dxa"/>
              <w:end w:w="65" w:type="dxa"/>
            </w:tcMar>
          </w:tcPr>
          <w:p>
            <w:r>
              <w:rPr>
                <w:sz w:val="16"/>
              </w:rPr>
              <w:t>Instructions do not rely only on shape, color, size, location, orientation, or sound.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1.3.4</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Orientation</w:t>
            </w:r>
          </w:p>
        </w:tc>
        <w:tc>
          <w:tcPr>
            <w:tcW w:type="dxa" w:w="1728"/>
            <w:tcMar>
              <w:top w:w="65" w:type="dxa"/>
              <w:start w:w="65" w:type="dxa"/>
              <w:bottom w:w="65" w:type="dxa"/>
              <w:end w:w="65" w:type="dxa"/>
            </w:tcMar>
          </w:tcPr>
          <w:p>
            <w:r>
              <w:rPr>
                <w:sz w:val="16"/>
              </w:rPr>
              <w:t>Content is not restricted to one display orientation unless essential.</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1.3.5</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Identify Input Purpose</w:t>
            </w:r>
          </w:p>
        </w:tc>
        <w:tc>
          <w:tcPr>
            <w:tcW w:type="dxa" w:w="1728"/>
            <w:tcMar>
              <w:top w:w="65" w:type="dxa"/>
              <w:start w:w="65" w:type="dxa"/>
              <w:bottom w:w="65" w:type="dxa"/>
              <w:end w:w="65" w:type="dxa"/>
            </w:tcMar>
          </w:tcPr>
          <w:p>
            <w:r>
              <w:rPr>
                <w:sz w:val="16"/>
              </w:rPr>
              <w:t>Common user-input purposes can be programmatically identified where applicable.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Use of Color</w:t>
            </w:r>
          </w:p>
        </w:tc>
        <w:tc>
          <w:tcPr>
            <w:tcW w:type="dxa" w:w="1728"/>
            <w:tcMar>
              <w:top w:w="65" w:type="dxa"/>
              <w:start w:w="65" w:type="dxa"/>
              <w:bottom w:w="65" w:type="dxa"/>
              <w:end w:w="65" w:type="dxa"/>
            </w:tcMar>
          </w:tcPr>
          <w:p>
            <w:r>
              <w:rPr>
                <w:sz w:val="16"/>
              </w:rPr>
              <w:t>Color is not the only way information or state is communicated.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Audio Control</w:t>
            </w:r>
          </w:p>
        </w:tc>
        <w:tc>
          <w:tcPr>
            <w:tcW w:type="dxa" w:w="1728"/>
            <w:tcMar>
              <w:top w:w="65" w:type="dxa"/>
              <w:start w:w="65" w:type="dxa"/>
              <w:bottom w:w="65" w:type="dxa"/>
              <w:end w:w="65" w:type="dxa"/>
            </w:tcMar>
          </w:tcPr>
          <w:p>
            <w:r>
              <w:rPr>
                <w:sz w:val="16"/>
              </w:rPr>
              <w:t>Automatically playing audio longer than 3 seconds can be paused/stopped or independently controlled.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1.4.3</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Contrast (Minimum)</w:t>
            </w:r>
          </w:p>
        </w:tc>
        <w:tc>
          <w:tcPr>
            <w:tcW w:type="dxa" w:w="1728"/>
            <w:tcMar>
              <w:top w:w="65" w:type="dxa"/>
              <w:start w:w="65" w:type="dxa"/>
              <w:bottom w:w="65" w:type="dxa"/>
              <w:end w:w="65" w:type="dxa"/>
            </w:tcMar>
          </w:tcPr>
          <w:p>
            <w:r>
              <w:rPr>
                <w:sz w:val="16"/>
              </w:rPr>
              <w:t>Text and images of text meet minimum contrast requirements.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1.4.4</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Resize Text</w:t>
            </w:r>
          </w:p>
        </w:tc>
        <w:tc>
          <w:tcPr>
            <w:tcW w:type="dxa" w:w="1728"/>
            <w:tcMar>
              <w:top w:w="65" w:type="dxa"/>
              <w:start w:w="65" w:type="dxa"/>
              <w:bottom w:w="65" w:type="dxa"/>
              <w:end w:w="65" w:type="dxa"/>
            </w:tcMar>
          </w:tcPr>
          <w:p>
            <w:r>
              <w:rPr>
                <w:sz w:val="16"/>
              </w:rPr>
              <w:t>Text can be resized to 200% without loss of content/functionality.</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1.4.5</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Images of Text</w:t>
            </w:r>
          </w:p>
        </w:tc>
        <w:tc>
          <w:tcPr>
            <w:tcW w:type="dxa" w:w="1728"/>
            <w:tcMar>
              <w:top w:w="65" w:type="dxa"/>
              <w:start w:w="65" w:type="dxa"/>
              <w:bottom w:w="65" w:type="dxa"/>
              <w:end w:w="65" w:type="dxa"/>
            </w:tcMar>
          </w:tcPr>
          <w:p>
            <w:r>
              <w:rPr>
                <w:sz w:val="16"/>
              </w:rPr>
              <w:t>Use real text rather than images of text except where essential/customizable.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1.4.10</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Reflow</w:t>
            </w:r>
          </w:p>
        </w:tc>
        <w:tc>
          <w:tcPr>
            <w:tcW w:type="dxa" w:w="1728"/>
            <w:tcMar>
              <w:top w:w="65" w:type="dxa"/>
              <w:start w:w="65" w:type="dxa"/>
              <w:bottom w:w="65" w:type="dxa"/>
              <w:end w:w="65" w:type="dxa"/>
            </w:tcMar>
          </w:tcPr>
          <w:p>
            <w:r>
              <w:rPr>
                <w:sz w:val="16"/>
              </w:rPr>
              <w:t>Content reflows at narrow viewport/zoom without two-dimensional scrolling except permitted exceptions.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1.4.11</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Non-text Contrast</w:t>
            </w:r>
          </w:p>
        </w:tc>
        <w:tc>
          <w:tcPr>
            <w:tcW w:type="dxa" w:w="1728"/>
            <w:tcMar>
              <w:top w:w="65" w:type="dxa"/>
              <w:start w:w="65" w:type="dxa"/>
              <w:bottom w:w="65" w:type="dxa"/>
              <w:end w:w="65" w:type="dxa"/>
            </w:tcMar>
          </w:tcPr>
          <w:p>
            <w:r>
              <w:rPr>
                <w:sz w:val="16"/>
              </w:rPr>
              <w:t>UI components, states, and meaningful graphics have sufficient contrast.</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1.4.12</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Text Spacing</w:t>
            </w:r>
          </w:p>
        </w:tc>
        <w:tc>
          <w:tcPr>
            <w:tcW w:type="dxa" w:w="1728"/>
            <w:tcMar>
              <w:top w:w="65" w:type="dxa"/>
              <w:start w:w="65" w:type="dxa"/>
              <w:bottom w:w="65" w:type="dxa"/>
              <w:end w:w="65" w:type="dxa"/>
            </w:tcMar>
          </w:tcPr>
          <w:p>
            <w:r>
              <w:rPr>
                <w:sz w:val="16"/>
              </w:rPr>
              <w:t>User-applied text spacing does not cause loss of content/functionality.</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1.4.13</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Content on Hover or Focus</w:t>
            </w:r>
          </w:p>
        </w:tc>
        <w:tc>
          <w:tcPr>
            <w:tcW w:type="dxa" w:w="1728"/>
            <w:tcMar>
              <w:top w:w="65" w:type="dxa"/>
              <w:start w:w="65" w:type="dxa"/>
              <w:bottom w:w="65" w:type="dxa"/>
              <w:end w:w="65" w:type="dxa"/>
            </w:tcMar>
          </w:tcPr>
          <w:p>
            <w:r>
              <w:rPr>
                <w:sz w:val="16"/>
              </w:rPr>
              <w:t>Additional hover/focus content is dismissible, hoverable, and persistent as required.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2.1.1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Keyboard</w:t>
            </w:r>
          </w:p>
        </w:tc>
        <w:tc>
          <w:tcPr>
            <w:tcW w:type="dxa" w:w="1728"/>
            <w:tcMar>
              <w:top w:w="65" w:type="dxa"/>
              <w:start w:w="65" w:type="dxa"/>
              <w:bottom w:w="65" w:type="dxa"/>
              <w:end w:w="65" w:type="dxa"/>
            </w:tcMar>
          </w:tcPr>
          <w:p>
            <w:r>
              <w:rPr>
                <w:sz w:val="16"/>
              </w:rPr>
              <w:t>All functionality is operable from a keyboard.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2.1.2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No Keyboard Trap</w:t>
            </w:r>
          </w:p>
        </w:tc>
        <w:tc>
          <w:tcPr>
            <w:tcW w:type="dxa" w:w="1728"/>
            <w:tcMar>
              <w:top w:w="65" w:type="dxa"/>
              <w:start w:w="65" w:type="dxa"/>
              <w:bottom w:w="65" w:type="dxa"/>
              <w:end w:w="65" w:type="dxa"/>
            </w:tcMar>
          </w:tcPr>
          <w:p>
            <w:r>
              <w:rPr>
                <w:sz w:val="16"/>
              </w:rPr>
              <w:t>Keyboard focus can move away from components using standard or documented methods.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2.1.4</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Character Key Shortcuts</w:t>
            </w:r>
          </w:p>
        </w:tc>
        <w:tc>
          <w:tcPr>
            <w:tcW w:type="dxa" w:w="1728"/>
            <w:tcMar>
              <w:top w:w="65" w:type="dxa"/>
              <w:start w:w="65" w:type="dxa"/>
              <w:bottom w:w="65" w:type="dxa"/>
              <w:end w:w="65" w:type="dxa"/>
            </w:tcMar>
          </w:tcPr>
          <w:p>
            <w:r>
              <w:rPr>
                <w:sz w:val="16"/>
              </w:rPr>
              <w:t>Single-character shortcuts can be disabled/remapped or are active only on focus.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2.2.1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Timing Adjustable</w:t>
            </w:r>
          </w:p>
        </w:tc>
        <w:tc>
          <w:tcPr>
            <w:tcW w:type="dxa" w:w="1728"/>
            <w:tcMar>
              <w:top w:w="65" w:type="dxa"/>
              <w:start w:w="65" w:type="dxa"/>
              <w:bottom w:w="65" w:type="dxa"/>
              <w:end w:w="65" w:type="dxa"/>
            </w:tcMar>
          </w:tcPr>
          <w:p>
            <w:r>
              <w:rPr>
                <w:sz w:val="16"/>
              </w:rPr>
              <w:t>Time limits can be turned off, adjusted, or extended unless an exception applies.</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2.2.2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Pause, Stop, Hide</w:t>
            </w:r>
          </w:p>
        </w:tc>
        <w:tc>
          <w:tcPr>
            <w:tcW w:type="dxa" w:w="1728"/>
            <w:tcMar>
              <w:top w:w="65" w:type="dxa"/>
              <w:start w:w="65" w:type="dxa"/>
              <w:bottom w:w="65" w:type="dxa"/>
              <w:end w:w="65" w:type="dxa"/>
            </w:tcMar>
          </w:tcPr>
          <w:p>
            <w:r>
              <w:rPr>
                <w:sz w:val="16"/>
              </w:rPr>
              <w:t>Moving/blinking/scrolling/updating content can be paused, stopped, hidden, or controlled as required.</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2.3.1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Three Flashes or Below Threshold</w:t>
            </w:r>
          </w:p>
        </w:tc>
        <w:tc>
          <w:tcPr>
            <w:tcW w:type="dxa" w:w="1728"/>
            <w:tcMar>
              <w:top w:w="65" w:type="dxa"/>
              <w:start w:w="65" w:type="dxa"/>
              <w:bottom w:w="65" w:type="dxa"/>
              <w:end w:w="65" w:type="dxa"/>
            </w:tcMar>
          </w:tcPr>
          <w:p>
            <w:r>
              <w:rPr>
                <w:sz w:val="16"/>
              </w:rPr>
              <w:t>Content does not flash in a way that exceeds the defined threshold.</w:t>
            </w:r>
          </w:p>
        </w:tc>
        <w:tc>
          <w:tcPr>
            <w:tcW w:type="dxa" w:w="1728"/>
            <w:tcMar>
              <w:top w:w="65" w:type="dxa"/>
              <w:start w:w="65" w:type="dxa"/>
              <w:bottom w:w="65" w:type="dxa"/>
              <w:end w:w="65" w:type="dxa"/>
            </w:tcMar>
          </w:tcPr>
          <w:p>
            <w:r>
              <w:rPr>
                <w:sz w:val="16"/>
              </w:rPr>
              <w:t>LearnAssist / AKOOL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Bypass Blocks</w:t>
            </w:r>
          </w:p>
        </w:tc>
        <w:tc>
          <w:tcPr>
            <w:tcW w:type="dxa" w:w="1728"/>
            <w:tcMar>
              <w:top w:w="65" w:type="dxa"/>
              <w:start w:w="65" w:type="dxa"/>
              <w:bottom w:w="65" w:type="dxa"/>
              <w:end w:w="65" w:type="dxa"/>
            </w:tcMar>
          </w:tcPr>
          <w:p>
            <w:r>
              <w:rPr>
                <w:sz w:val="16"/>
              </w:rPr>
              <w:t>Provide a mechanism to bypass repeated content blocks.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Page Titled</w:t>
            </w:r>
          </w:p>
        </w:tc>
        <w:tc>
          <w:tcPr>
            <w:tcW w:type="dxa" w:w="1728"/>
            <w:tcMar>
              <w:top w:w="65" w:type="dxa"/>
              <w:start w:w="65" w:type="dxa"/>
              <w:bottom w:w="65" w:type="dxa"/>
              <w:end w:w="65" w:type="dxa"/>
            </w:tcMar>
          </w:tcPr>
          <w:p>
            <w:r>
              <w:rPr>
                <w:sz w:val="16"/>
              </w:rPr>
              <w:t>Pages/views have descriptive titles.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2.4.3</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Focus Order</w:t>
            </w:r>
          </w:p>
        </w:tc>
        <w:tc>
          <w:tcPr>
            <w:tcW w:type="dxa" w:w="1728"/>
            <w:tcMar>
              <w:top w:w="65" w:type="dxa"/>
              <w:start w:w="65" w:type="dxa"/>
              <w:bottom w:w="65" w:type="dxa"/>
              <w:end w:w="65" w:type="dxa"/>
            </w:tcMar>
          </w:tcPr>
          <w:p>
            <w:r>
              <w:rPr>
                <w:sz w:val="16"/>
              </w:rPr>
              <w:t>Keyboard focus order preserves meaning and operability.</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2.4.4</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Link Purpose (In Context)</w:t>
            </w:r>
          </w:p>
        </w:tc>
        <w:tc>
          <w:tcPr>
            <w:tcW w:type="dxa" w:w="1728"/>
            <w:tcMar>
              <w:top w:w="65" w:type="dxa"/>
              <w:start w:w="65" w:type="dxa"/>
              <w:bottom w:w="65" w:type="dxa"/>
              <w:end w:w="65" w:type="dxa"/>
            </w:tcMar>
          </w:tcPr>
          <w:p>
            <w:r>
              <w:rPr>
                <w:sz w:val="16"/>
              </w:rPr>
              <w:t>Link purpose is understandable from link text or context.</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2.4.5</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Multiple Ways</w:t>
            </w:r>
          </w:p>
        </w:tc>
        <w:tc>
          <w:tcPr>
            <w:tcW w:type="dxa" w:w="1728"/>
            <w:tcMar>
              <w:top w:w="65" w:type="dxa"/>
              <w:start w:w="65" w:type="dxa"/>
              <w:bottom w:w="65" w:type="dxa"/>
              <w:end w:w="65" w:type="dxa"/>
            </w:tcMar>
          </w:tcPr>
          <w:p>
            <w:r>
              <w:rPr>
                <w:sz w:val="16"/>
              </w:rPr>
              <w:t>More than one method is available to locate pages/views when applicable.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2.4.6</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Headings and Labels</w:t>
            </w:r>
          </w:p>
        </w:tc>
        <w:tc>
          <w:tcPr>
            <w:tcW w:type="dxa" w:w="1728"/>
            <w:tcMar>
              <w:top w:w="65" w:type="dxa"/>
              <w:start w:w="65" w:type="dxa"/>
              <w:bottom w:w="65" w:type="dxa"/>
              <w:end w:w="65" w:type="dxa"/>
            </w:tcMar>
          </w:tcPr>
          <w:p>
            <w:r>
              <w:rPr>
                <w:sz w:val="16"/>
              </w:rPr>
              <w:t>Headings and labels describe topic or purpose.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2.4.7</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Focus Visible</w:t>
            </w:r>
          </w:p>
        </w:tc>
        <w:tc>
          <w:tcPr>
            <w:tcW w:type="dxa" w:w="1728"/>
            <w:tcMar>
              <w:top w:w="65" w:type="dxa"/>
              <w:start w:w="65" w:type="dxa"/>
              <w:bottom w:w="65" w:type="dxa"/>
              <w:end w:w="65" w:type="dxa"/>
            </w:tcMar>
          </w:tcPr>
          <w:p>
            <w:r>
              <w:rPr>
                <w:sz w:val="16"/>
              </w:rPr>
              <w:t>Keyboard focus indicator is visible.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2.4.11</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Focus Not Obscured (Minimum)</w:t>
            </w:r>
          </w:p>
        </w:tc>
        <w:tc>
          <w:tcPr>
            <w:tcW w:type="dxa" w:w="1728"/>
            <w:tcMar>
              <w:top w:w="65" w:type="dxa"/>
              <w:start w:w="65" w:type="dxa"/>
              <w:bottom w:w="65" w:type="dxa"/>
              <w:end w:w="65" w:type="dxa"/>
            </w:tcMar>
          </w:tcPr>
          <w:p>
            <w:r>
              <w:rPr>
                <w:sz w:val="16"/>
              </w:rPr>
              <w:t>Focused components are not entirely hidden by author-created content.</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2.5.1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Pointer Gestures</w:t>
            </w:r>
          </w:p>
        </w:tc>
        <w:tc>
          <w:tcPr>
            <w:tcW w:type="dxa" w:w="1728"/>
            <w:tcMar>
              <w:top w:w="65" w:type="dxa"/>
              <w:start w:w="65" w:type="dxa"/>
              <w:bottom w:w="65" w:type="dxa"/>
              <w:end w:w="65" w:type="dxa"/>
            </w:tcMar>
          </w:tcPr>
          <w:p>
            <w:r>
              <w:rPr>
                <w:sz w:val="16"/>
              </w:rPr>
              <w:t>Multipoint/path gestures have a single-pointer alternative unless essential.</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2.5.2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Pointer Cancellation</w:t>
            </w:r>
          </w:p>
        </w:tc>
        <w:tc>
          <w:tcPr>
            <w:tcW w:type="dxa" w:w="1728"/>
            <w:tcMar>
              <w:top w:w="65" w:type="dxa"/>
              <w:start w:w="65" w:type="dxa"/>
              <w:bottom w:w="65" w:type="dxa"/>
              <w:end w:w="65" w:type="dxa"/>
            </w:tcMar>
          </w:tcPr>
          <w:p>
            <w:r>
              <w:rPr>
                <w:sz w:val="16"/>
              </w:rPr>
              <w:t>Pointer actions avoid harmful down-event activation and support cancellation/undo as required.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2.5.3</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Label in Name</w:t>
            </w:r>
          </w:p>
        </w:tc>
        <w:tc>
          <w:tcPr>
            <w:tcW w:type="dxa" w:w="1728"/>
            <w:tcMar>
              <w:top w:w="65" w:type="dxa"/>
              <w:start w:w="65" w:type="dxa"/>
              <w:bottom w:w="65" w:type="dxa"/>
              <w:end w:w="65" w:type="dxa"/>
            </w:tcMar>
          </w:tcPr>
          <w:p>
            <w:r>
              <w:rPr>
                <w:sz w:val="16"/>
              </w:rPr>
              <w:t>Accessible names for controls include the visible label text.</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2.5.4</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Motion Actuation</w:t>
            </w:r>
          </w:p>
        </w:tc>
        <w:tc>
          <w:tcPr>
            <w:tcW w:type="dxa" w:w="1728"/>
            <w:tcMar>
              <w:top w:w="65" w:type="dxa"/>
              <w:start w:w="65" w:type="dxa"/>
              <w:bottom w:w="65" w:type="dxa"/>
              <w:end w:w="65" w:type="dxa"/>
            </w:tcMar>
          </w:tcPr>
          <w:p>
            <w:r>
              <w:rPr>
                <w:sz w:val="16"/>
              </w:rPr>
              <w:t>Motion-triggered functionality also has UI controls and can be disabled unless essential.</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2.5.7</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Dragging Movements</w:t>
            </w:r>
          </w:p>
        </w:tc>
        <w:tc>
          <w:tcPr>
            <w:tcW w:type="dxa" w:w="1728"/>
            <w:tcMar>
              <w:top w:w="65" w:type="dxa"/>
              <w:start w:w="65" w:type="dxa"/>
              <w:bottom w:w="65" w:type="dxa"/>
              <w:end w:w="65" w:type="dxa"/>
            </w:tcMar>
          </w:tcPr>
          <w:p>
            <w:r>
              <w:rPr>
                <w:sz w:val="16"/>
              </w:rPr>
              <w:t>Dragging functionality has a non-dragging single-pointer alternative unless essential.</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2.5.8</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Target Size (Minimum)</w:t>
            </w:r>
          </w:p>
        </w:tc>
        <w:tc>
          <w:tcPr>
            <w:tcW w:type="dxa" w:w="1728"/>
            <w:tcMar>
              <w:top w:w="65" w:type="dxa"/>
              <w:start w:w="65" w:type="dxa"/>
              <w:bottom w:w="65" w:type="dxa"/>
              <w:end w:w="65" w:type="dxa"/>
            </w:tcMar>
          </w:tcPr>
          <w:p>
            <w:r>
              <w:rPr>
                <w:sz w:val="16"/>
              </w:rPr>
              <w:t>Pointer targets meet minimum size/spacing requirements or an exception applies.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3.1.1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Language of Page</w:t>
            </w:r>
          </w:p>
        </w:tc>
        <w:tc>
          <w:tcPr>
            <w:tcW w:type="dxa" w:w="1728"/>
            <w:tcMar>
              <w:top w:w="65" w:type="dxa"/>
              <w:start w:w="65" w:type="dxa"/>
              <w:bottom w:w="65" w:type="dxa"/>
              <w:end w:w="65" w:type="dxa"/>
            </w:tcMar>
          </w:tcPr>
          <w:p>
            <w:r>
              <w:rPr>
                <w:sz w:val="16"/>
              </w:rPr>
              <w:t>Default human language is programmatically identified.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3.1.2</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Language of Parts</w:t>
            </w:r>
          </w:p>
        </w:tc>
        <w:tc>
          <w:tcPr>
            <w:tcW w:type="dxa" w:w="1728"/>
            <w:tcMar>
              <w:top w:w="65" w:type="dxa"/>
              <w:start w:w="65" w:type="dxa"/>
              <w:bottom w:w="65" w:type="dxa"/>
              <w:end w:w="65" w:type="dxa"/>
            </w:tcMar>
          </w:tcPr>
          <w:p>
            <w:r>
              <w:rPr>
                <w:sz w:val="16"/>
              </w:rPr>
              <w:t>Language changes in content are programmatically identified where applicable.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3.2.1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On Focus</w:t>
            </w:r>
          </w:p>
        </w:tc>
        <w:tc>
          <w:tcPr>
            <w:tcW w:type="dxa" w:w="1728"/>
            <w:tcMar>
              <w:top w:w="65" w:type="dxa"/>
              <w:start w:w="65" w:type="dxa"/>
              <w:bottom w:w="65" w:type="dxa"/>
              <w:end w:w="65" w:type="dxa"/>
            </w:tcMar>
          </w:tcPr>
          <w:p>
            <w:r>
              <w:rPr>
                <w:sz w:val="16"/>
              </w:rPr>
              <w:t>Receiving focus does not unexpectedly change context.</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3.2.2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On Input</w:t>
            </w:r>
          </w:p>
        </w:tc>
        <w:tc>
          <w:tcPr>
            <w:tcW w:type="dxa" w:w="1728"/>
            <w:tcMar>
              <w:top w:w="65" w:type="dxa"/>
              <w:start w:w="65" w:type="dxa"/>
              <w:bottom w:w="65" w:type="dxa"/>
              <w:end w:w="65" w:type="dxa"/>
            </w:tcMar>
          </w:tcPr>
          <w:p>
            <w:r>
              <w:rPr>
                <w:sz w:val="16"/>
              </w:rPr>
              <w:t>Changing a control does not unexpectedly change context without warning.</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3.2.3</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Consistent Navigation</w:t>
            </w:r>
          </w:p>
        </w:tc>
        <w:tc>
          <w:tcPr>
            <w:tcW w:type="dxa" w:w="1728"/>
            <w:tcMar>
              <w:top w:w="65" w:type="dxa"/>
              <w:start w:w="65" w:type="dxa"/>
              <w:bottom w:w="65" w:type="dxa"/>
              <w:end w:w="65" w:type="dxa"/>
            </w:tcMar>
          </w:tcPr>
          <w:p>
            <w:r>
              <w:rPr>
                <w:sz w:val="16"/>
              </w:rPr>
              <w:t>Repeated navigation appears in consistent relative order.</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3.2.4</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Consistent Identification</w:t>
            </w:r>
          </w:p>
        </w:tc>
        <w:tc>
          <w:tcPr>
            <w:tcW w:type="dxa" w:w="1728"/>
            <w:tcMar>
              <w:top w:w="65" w:type="dxa"/>
              <w:start w:w="65" w:type="dxa"/>
              <w:bottom w:w="65" w:type="dxa"/>
              <w:end w:w="65" w:type="dxa"/>
            </w:tcMar>
          </w:tcPr>
          <w:p>
            <w:r>
              <w:rPr>
                <w:sz w:val="16"/>
              </w:rPr>
              <w:t>Components with the same function are identified consistently.</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3.2.6</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Consistent Help</w:t>
            </w:r>
          </w:p>
        </w:tc>
        <w:tc>
          <w:tcPr>
            <w:tcW w:type="dxa" w:w="1728"/>
            <w:tcMar>
              <w:top w:w="65" w:type="dxa"/>
              <w:start w:w="65" w:type="dxa"/>
              <w:bottom w:w="65" w:type="dxa"/>
              <w:end w:w="65" w:type="dxa"/>
            </w:tcMar>
          </w:tcPr>
          <w:p>
            <w:r>
              <w:rPr>
                <w:sz w:val="16"/>
              </w:rPr>
              <w:t>Repeated help mechanisms occur in a consistent relative order.</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3.3.1</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Error Identification</w:t>
            </w:r>
          </w:p>
        </w:tc>
        <w:tc>
          <w:tcPr>
            <w:tcW w:type="dxa" w:w="1728"/>
            <w:tcMar>
              <w:top w:w="65" w:type="dxa"/>
              <w:start w:w="65" w:type="dxa"/>
              <w:bottom w:w="65" w:type="dxa"/>
              <w:end w:w="65" w:type="dxa"/>
            </w:tcMar>
          </w:tcPr>
          <w:p>
            <w:r>
              <w:rPr>
                <w:sz w:val="16"/>
              </w:rPr>
              <w:t>Input errors are identified and described in text.</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3.3.2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Labels or Instructions</w:t>
            </w:r>
          </w:p>
        </w:tc>
        <w:tc>
          <w:tcPr>
            <w:tcW w:type="dxa" w:w="1728"/>
            <w:tcMar>
              <w:top w:w="65" w:type="dxa"/>
              <w:start w:w="65" w:type="dxa"/>
              <w:bottom w:w="65" w:type="dxa"/>
              <w:end w:w="65" w:type="dxa"/>
            </w:tcMar>
          </w:tcPr>
          <w:p>
            <w:r>
              <w:rPr>
                <w:sz w:val="16"/>
              </w:rPr>
              <w:t>Inputs have labels/instructions when user input is required.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3.3.3</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Error Suggestion</w:t>
            </w:r>
          </w:p>
        </w:tc>
        <w:tc>
          <w:tcPr>
            <w:tcW w:type="dxa" w:w="1728"/>
            <w:tcMar>
              <w:top w:w="65" w:type="dxa"/>
              <w:start w:w="65" w:type="dxa"/>
              <w:bottom w:w="65" w:type="dxa"/>
              <w:end w:w="65" w:type="dxa"/>
            </w:tcMar>
          </w:tcPr>
          <w:p>
            <w:r>
              <w:rPr>
                <w:sz w:val="16"/>
              </w:rPr>
              <w:t>Known corrections are suggested unless doing so would compromise security/purpose.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3.3.4</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Error Prevention (Legal, Financial, Data)</w:t>
            </w:r>
          </w:p>
        </w:tc>
        <w:tc>
          <w:tcPr>
            <w:tcW w:type="dxa" w:w="1728"/>
            <w:tcMar>
              <w:top w:w="65" w:type="dxa"/>
              <w:start w:w="65" w:type="dxa"/>
              <w:bottom w:w="65" w:type="dxa"/>
              <w:end w:w="65" w:type="dxa"/>
            </w:tcMar>
          </w:tcPr>
          <w:p>
            <w:r>
              <w:rPr>
                <w:sz w:val="16"/>
              </w:rPr>
              <w:t>Applicable submissions are reversible, checked, or confirmable.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3.3.7</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Redundant Entry</w:t>
            </w:r>
          </w:p>
        </w:tc>
        <w:tc>
          <w:tcPr>
            <w:tcW w:type="dxa" w:w="1728"/>
            <w:tcMar>
              <w:top w:w="65" w:type="dxa"/>
              <w:start w:w="65" w:type="dxa"/>
              <w:bottom w:w="65" w:type="dxa"/>
              <w:end w:w="65" w:type="dxa"/>
            </w:tcMar>
          </w:tcPr>
          <w:p>
            <w:r>
              <w:rPr>
                <w:sz w:val="16"/>
              </w:rPr>
              <w:t>Previously supplied information is auto-populated/selectable unless re-entry is essential or required.</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3.3.8</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Accessible Authentication (Minimum)</w:t>
            </w:r>
          </w:p>
        </w:tc>
        <w:tc>
          <w:tcPr>
            <w:tcW w:type="dxa" w:w="1728"/>
            <w:tcMar>
              <w:top w:w="65" w:type="dxa"/>
              <w:start w:w="65" w:type="dxa"/>
              <w:bottom w:w="65" w:type="dxa"/>
              <w:end w:w="65" w:type="dxa"/>
            </w:tcMar>
          </w:tcPr>
          <w:p>
            <w:r>
              <w:rPr>
                <w:sz w:val="16"/>
              </w:rPr>
              <w:t>Authentication does not require a cognitive-function test unless an allowed alternative/assistance mechanism exists.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4.1.2</w:t>
            </w:r>
          </w:p>
        </w:tc>
        <w:tc>
          <w:tcPr>
            <w:tcW w:type="dxa" w:w="1728"/>
            <w:tcMar>
              <w:top w:w="65" w:type="dxa"/>
              <w:start w:w="65" w:type="dxa"/>
              <w:bottom w:w="65" w:type="dxa"/>
              <w:end w:w="65" w:type="dxa"/>
            </w:tcMar>
          </w:tcPr>
          <w:p>
            <w:r>
              <w:rPr>
                <w:sz w:val="16"/>
              </w:rPr>
              <w:t>A</w:t>
            </w:r>
          </w:p>
        </w:tc>
        <w:tc>
          <w:tcPr>
            <w:tcW w:type="dxa" w:w="1728"/>
            <w:tcMar>
              <w:top w:w="65" w:type="dxa"/>
              <w:start w:w="65" w:type="dxa"/>
              <w:bottom w:w="65" w:type="dxa"/>
              <w:end w:w="65" w:type="dxa"/>
            </w:tcMar>
          </w:tcPr>
          <w:p>
            <w:r>
              <w:rPr>
                <w:sz w:val="16"/>
              </w:rPr>
              <w:t>Name, Role, Value</w:t>
            </w:r>
          </w:p>
        </w:tc>
        <w:tc>
          <w:tcPr>
            <w:tcW w:type="dxa" w:w="1728"/>
            <w:tcMar>
              <w:top w:w="65" w:type="dxa"/>
              <w:start w:w="65" w:type="dxa"/>
              <w:bottom w:w="65" w:type="dxa"/>
              <w:end w:w="65" w:type="dxa"/>
            </w:tcMar>
          </w:tcPr>
          <w:p>
            <w:r>
              <w:rPr>
                <w:sz w:val="16"/>
              </w:rPr>
              <w:t>Custom controls expose programmatic name, role, state, property, and value.</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r>
        <w:tc>
          <w:tcPr>
            <w:tcW w:type="dxa" w:w="1728"/>
            <w:tcMar>
              <w:top w:w="65" w:type="dxa"/>
              <w:start w:w="65" w:type="dxa"/>
              <w:bottom w:w="65" w:type="dxa"/>
              <w:end w:w="65" w:type="dxa"/>
            </w:tcMar>
          </w:tcPr>
          <w:p>
            <w:r>
              <w:rPr>
                <w:sz w:val="16"/>
              </w:rPr>
              <w:t>4.1.3</w:t>
            </w:r>
          </w:p>
        </w:tc>
        <w:tc>
          <w:tcPr>
            <w:tcW w:type="dxa" w:w="1728"/>
            <w:tcMar>
              <w:top w:w="65" w:type="dxa"/>
              <w:start w:w="65" w:type="dxa"/>
              <w:bottom w:w="65" w:type="dxa"/>
              <w:end w:w="65" w:type="dxa"/>
            </w:tcMar>
          </w:tcPr>
          <w:p>
            <w:r>
              <w:rPr>
                <w:sz w:val="16"/>
              </w:rPr>
              <w:t>AA</w:t>
            </w:r>
          </w:p>
        </w:tc>
        <w:tc>
          <w:tcPr>
            <w:tcW w:type="dxa" w:w="1728"/>
            <w:tcMar>
              <w:top w:w="65" w:type="dxa"/>
              <w:start w:w="65" w:type="dxa"/>
              <w:bottom w:w="65" w:type="dxa"/>
              <w:end w:w="65" w:type="dxa"/>
            </w:tcMar>
          </w:tcPr>
          <w:p>
            <w:r>
              <w:rPr>
                <w:sz w:val="16"/>
              </w:rPr>
              <w:t>Status Messages</w:t>
            </w:r>
          </w:p>
        </w:tc>
        <w:tc>
          <w:tcPr>
            <w:tcW w:type="dxa" w:w="1728"/>
            <w:tcMar>
              <w:top w:w="65" w:type="dxa"/>
              <w:start w:w="65" w:type="dxa"/>
              <w:bottom w:w="65" w:type="dxa"/>
              <w:end w:w="65" w:type="dxa"/>
            </w:tcMar>
          </w:tcPr>
          <w:p>
            <w:r>
              <w:rPr>
                <w:sz w:val="16"/>
              </w:rPr>
              <w:t>Status messages are programmatically available to assistive technologies without moving focus.</w:t>
            </w:r>
          </w:p>
        </w:tc>
        <w:tc>
          <w:tcPr>
            <w:tcW w:type="dxa" w:w="1728"/>
            <w:tcMar>
              <w:top w:w="65" w:type="dxa"/>
              <w:start w:w="65" w:type="dxa"/>
              <w:bottom w:w="65" w:type="dxa"/>
              <w:end w:w="65" w:type="dxa"/>
            </w:tcMar>
          </w:tcPr>
          <w:p>
            <w:r>
              <w:rPr>
                <w:sz w:val="16"/>
              </w:rPr>
              <w:t>LearnAssist / Integrated</w:t>
            </w:r>
          </w:p>
        </w:tc>
        <w:tc>
          <w:tcPr>
            <w:tcW w:type="dxa" w:w="1728"/>
            <w:tcMar>
              <w:top w:w="65" w:type="dxa"/>
              <w:start w:w="65" w:type="dxa"/>
              <w:bottom w:w="65" w:type="dxa"/>
              <w:end w:w="65" w:type="dxa"/>
            </w:tcMar>
          </w:tcPr>
          <w:p>
            <w:r>
              <w:rPr>
                <w:sz w:val="16"/>
              </w:rPr>
              <w:t>☐ NT  ☐ S  ☐ PS  ☐ DNS  ☐ NA</w:t>
            </w:r>
          </w:p>
        </w:tc>
      </w:tr>
    </w:tbl>
    <w:p>
      <w:pPr>
        <w:pStyle w:val="Heading1"/>
      </w:pPr>
      <w:r>
        <w:t>4. LearnAssist-Specific Functional Test Scenarios</w:t>
      </w:r>
    </w:p>
    <w:p>
      <w:pPr>
        <w:spacing w:after="40"/>
      </w:pPr>
      <w:r>
        <w:t>☐ Keyboard-only user can launch the avatar from Brightspace, enter/exit the experience, reach all controls, submit a question, stop/mute audio, review text, and return to the course.</w:t>
      </w:r>
    </w:p>
    <w:p>
      <w:pPr>
        <w:spacing w:after="40"/>
      </w:pPr>
      <w:r>
        <w:t>☐ Screen-reader user can identify the avatar region, input field, send/record controls, response/status updates, session summary, links, and errors.</w:t>
      </w:r>
    </w:p>
    <w:p>
      <w:pPr>
        <w:spacing w:after="40"/>
      </w:pPr>
      <w:r>
        <w:t>☐ Voice interaction has an equivalent non-voice path; students are not required to speak to use core learning functionality.</w:t>
      </w:r>
    </w:p>
    <w:p>
      <w:pPr>
        <w:spacing w:after="40"/>
      </w:pPr>
      <w:r>
        <w:t>☐ Visual avatar cues are not the sole method of conveying instructional meaning.</w:t>
      </w:r>
    </w:p>
    <w:p>
      <w:pPr>
        <w:spacing w:after="40"/>
      </w:pPr>
      <w:r>
        <w:t>☐ Avatar speech is available as accessible text/captions where the feature is enabled.</w:t>
      </w:r>
    </w:p>
    <w:p>
      <w:pPr>
        <w:spacing w:after="40"/>
      </w:pPr>
      <w:r>
        <w:t>☐ Audio can be paused/stopped/muted and does not interfere with screen-reader output.</w:t>
      </w:r>
    </w:p>
    <w:p>
      <w:pPr>
        <w:spacing w:after="40"/>
      </w:pPr>
      <w:r>
        <w:t>☐ Any animation or movement that is not essential can be controlled where required.</w:t>
      </w:r>
    </w:p>
    <w:p>
      <w:pPr>
        <w:spacing w:after="40"/>
      </w:pPr>
      <w:r>
        <w:t>☐ Zoom/reflow testing at 200% and narrow viewport does not hide essential controls or require inappropriate horizontal scrolling.</w:t>
      </w:r>
    </w:p>
    <w:p>
      <w:pPr>
        <w:spacing w:after="40"/>
      </w:pPr>
      <w:r>
        <w:t>☐ Focus remains visible and is not obscured by chat panels, modals, sticky controls, video/avatar windows, or Brightspace containers.</w:t>
      </w:r>
    </w:p>
    <w:p>
      <w:pPr>
        <w:spacing w:after="40"/>
      </w:pPr>
      <w:r>
        <w:t>☐ Errors for microphone permissions, session expiration, API/LTI failure, unavailable content, and network failure are conveyed in text and programmatically where applicable.</w:t>
      </w:r>
    </w:p>
    <w:p>
      <w:pPr>
        <w:spacing w:after="40"/>
      </w:pPr>
      <w:r>
        <w:t>☐ Authentication/SSO does not impose inaccessible cognitive tests; accessible alternatives are available where needed.</w:t>
      </w:r>
    </w:p>
    <w:p>
      <w:pPr>
        <w:spacing w:after="40"/>
      </w:pPr>
      <w:r>
        <w:t>☐ Language changes and multilingual responses are correctly identified to assistive technologies where technically feasible.</w:t>
      </w:r>
    </w:p>
    <w:p>
      <w:pPr>
        <w:spacing w:after="40"/>
      </w:pPr>
      <w:r>
        <w:t>☐ Generated micro-lessons, summaries, outlines, and downloadable materials are evaluated for accessibility before being represented as accessible outputs.</w:t>
      </w:r>
    </w:p>
    <w:p>
      <w:pPr>
        <w:pStyle w:val="Heading1"/>
      </w:pPr>
      <w:r>
        <w:t>5. Testing Evidence Log</w:t>
      </w:r>
    </w:p>
    <w:tbl>
      <w:tblPr>
        <w:tblStyle w:val="TableGrid"/>
        <w:tblW w:type="auto" w:w="0"/>
        <w:jc w:val="center"/>
        <w:tblLook w:firstColumn="1" w:firstRow="1" w:lastColumn="0" w:lastRow="0" w:noHBand="0" w:noVBand="1" w:val="04A0"/>
      </w:tblPr>
      <w:tblGrid>
        <w:gridCol w:w="2074"/>
        <w:gridCol w:w="2074"/>
        <w:gridCol w:w="2074"/>
        <w:gridCol w:w="2074"/>
        <w:gridCol w:w="2074"/>
      </w:tblGrid>
      <w:tr>
        <w:tc>
          <w:tcPr>
            <w:tcW w:type="dxa" w:w="2074"/>
            <w:shd w:fill="17304D"/>
          </w:tcPr>
          <w:p>
            <w:r>
              <w:rPr>
                <w:b/>
                <w:color w:val="FFFFFF"/>
                <w:sz w:val="17"/>
              </w:rPr>
              <w:t>Test</w:t>
            </w:r>
          </w:p>
        </w:tc>
        <w:tc>
          <w:tcPr>
            <w:tcW w:type="dxa" w:w="2074"/>
            <w:shd w:fill="17304D"/>
          </w:tcPr>
          <w:p>
            <w:r>
              <w:rPr>
                <w:b/>
                <w:color w:val="FFFFFF"/>
                <w:sz w:val="17"/>
              </w:rPr>
              <w:t>Environment / AT</w:t>
            </w:r>
          </w:p>
        </w:tc>
        <w:tc>
          <w:tcPr>
            <w:tcW w:type="dxa" w:w="2074"/>
            <w:shd w:fill="17304D"/>
          </w:tcPr>
          <w:p>
            <w:r>
              <w:rPr>
                <w:b/>
                <w:color w:val="FFFFFF"/>
                <w:sz w:val="17"/>
              </w:rPr>
              <w:t>Date</w:t>
            </w:r>
          </w:p>
        </w:tc>
        <w:tc>
          <w:tcPr>
            <w:tcW w:type="dxa" w:w="2074"/>
            <w:shd w:fill="17304D"/>
          </w:tcPr>
          <w:p>
            <w:r>
              <w:rPr>
                <w:b/>
                <w:color w:val="FFFFFF"/>
                <w:sz w:val="17"/>
              </w:rPr>
              <w:t>Tester</w:t>
            </w:r>
          </w:p>
        </w:tc>
        <w:tc>
          <w:tcPr>
            <w:tcW w:type="dxa" w:w="2074"/>
            <w:shd w:fill="17304D"/>
          </w:tcPr>
          <w:p>
            <w:r>
              <w:rPr>
                <w:b/>
                <w:color w:val="FFFFFF"/>
                <w:sz w:val="17"/>
              </w:rPr>
              <w:t>Result / Defect Reference</w:t>
            </w:r>
          </w:p>
        </w:tc>
      </w:tr>
      <w:tr>
        <w:tc>
          <w:tcPr>
            <w:tcW w:type="dxa" w:w="2074"/>
            <w:tcMar>
              <w:top w:w="65" w:type="dxa"/>
              <w:start w:w="65" w:type="dxa"/>
              <w:bottom w:w="65" w:type="dxa"/>
              <w:end w:w="65" w:type="dxa"/>
            </w:tcMar>
          </w:tcPr>
          <w:p>
            <w:r>
              <w:rPr>
                <w:sz w:val="16"/>
              </w:rPr>
              <w:t>Keyboard only</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Screen reader - Windows</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Screen reader - macOS/iOS</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Browser zoom / reflow</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Color / contrast</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Speech / voice alternative</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Mobile / touch</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r>
        <w:tc>
          <w:tcPr>
            <w:tcW w:type="dxa" w:w="2074"/>
            <w:tcMar>
              <w:top w:w="65" w:type="dxa"/>
              <w:start w:w="65" w:type="dxa"/>
              <w:bottom w:w="65" w:type="dxa"/>
              <w:end w:w="65" w:type="dxa"/>
            </w:tcMar>
          </w:tcPr>
          <w:p>
            <w:r>
              <w:rPr>
                <w:sz w:val="16"/>
              </w:rPr>
              <w:t>LTI/SSO end-to-end</w:t>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c>
          <w:tcPr>
            <w:tcW w:type="dxa" w:w="2074"/>
            <w:tcMar>
              <w:top w:w="65" w:type="dxa"/>
              <w:start w:w="65" w:type="dxa"/>
              <w:bottom w:w="65" w:type="dxa"/>
              <w:end w:w="65" w:type="dxa"/>
            </w:tcMar>
          </w:tcPr>
          <w:p>
            <w:r>
              <w:rPr>
                <w:sz w:val="16"/>
              </w:rPr>
            </w:r>
          </w:p>
        </w:tc>
      </w:tr>
    </w:tbl>
    <w:p>
      <w:pPr>
        <w:pStyle w:val="Heading1"/>
      </w:pPr>
      <w:r>
        <w:t>6. ACR Finding Language - Use Only After Testing</w:t>
      </w:r>
    </w:p>
    <w:p>
      <w:r>
        <w:t>When a formal VPAT/ACR is prepared, use the conformance terms required by the selected VPAT edition/template. Do not mark a criterion as supported merely because the feature was designed with accessibility in mind. The finding should be based on test evidence and should describe exceptions, affected components, and remediation where appropriate.</w:t>
      </w:r>
    </w:p>
    <w:p>
      <w:pPr>
        <w:spacing w:after="40"/>
      </w:pPr>
      <w:r>
        <w:t>☐ Supports - evidence demonstrates the applicable functionality meets the criterion.</w:t>
      </w:r>
    </w:p>
    <w:p>
      <w:pPr>
        <w:spacing w:after="40"/>
      </w:pPr>
      <w:r>
        <w:t>☐ Partially Supports - some functionality meets the criterion but documented exceptions remain.</w:t>
      </w:r>
    </w:p>
    <w:p>
      <w:pPr>
        <w:spacing w:after="40"/>
      </w:pPr>
      <w:r>
        <w:t>☐ Does Not Support - the applicable functionality does not meet the criterion.</w:t>
      </w:r>
    </w:p>
    <w:p>
      <w:pPr>
        <w:spacing w:after="40"/>
      </w:pPr>
      <w:r>
        <w:t>☐ Not Applicable - the criterion does not apply to the evaluated product/scope.</w:t>
      </w:r>
    </w:p>
    <w:p>
      <w:pPr>
        <w:pStyle w:val="Heading1"/>
      </w:pPr>
      <w:r>
        <w:t>7. Pre-ACR Completion Gate</w:t>
      </w:r>
    </w:p>
    <w:p>
      <w:pPr>
        <w:spacing w:after="40"/>
      </w:pPr>
      <w:r>
        <w:t>☐ Product/version and evaluation scope are frozen and clearly identified.</w:t>
      </w:r>
    </w:p>
    <w:p>
      <w:pPr>
        <w:spacing w:after="40"/>
      </w:pPr>
      <w:r>
        <w:t>☐ LearnAssist-controlled components have been tested against all applicable WCAG 2.2 A/AA criteria.</w:t>
      </w:r>
    </w:p>
    <w:p>
      <w:pPr>
        <w:spacing w:after="40"/>
      </w:pPr>
      <w:r>
        <w:t>☐ AKOOL ACR/VPAT or equivalent accessibility evidence has been received and reviewed.</w:t>
      </w:r>
    </w:p>
    <w:p>
      <w:pPr>
        <w:spacing w:after="40"/>
      </w:pPr>
      <w:r>
        <w:t>☐ Integrated Brightspace LTI/SSO workflow has been manually tested.</w:t>
      </w:r>
    </w:p>
    <w:p>
      <w:pPr>
        <w:spacing w:after="40"/>
      </w:pPr>
      <w:r>
        <w:t>☐ Representative assistive technologies and browsers are documented.</w:t>
      </w:r>
    </w:p>
    <w:p>
      <w:pPr>
        <w:spacing w:after="40"/>
      </w:pPr>
      <w:r>
        <w:t>☐ Known exceptions and workarounds are documented.</w:t>
      </w:r>
    </w:p>
    <w:p>
      <w:pPr>
        <w:spacing w:after="40"/>
      </w:pPr>
      <w:r>
        <w:t>☐ Accessibility defects have owners, severity, target remediation dates, and retest evidence.</w:t>
      </w:r>
    </w:p>
    <w:p>
      <w:pPr>
        <w:spacing w:after="40"/>
      </w:pPr>
      <w:r>
        <w:t>☐ Accessibility contact and defect-reporting process are established.</w:t>
      </w:r>
    </w:p>
    <w:p>
      <w:pPr>
        <w:spacing w:after="40"/>
      </w:pPr>
      <w:r>
        <w:t>☐ Final ACR statements have been reviewed for accuracy and do not overstate conformance.</w:t>
      </w:r>
    </w:p>
    <w:p>
      <w:pPr>
        <w:pStyle w:val="Heading1"/>
      </w:pPr>
      <w:r>
        <w:t>8. Current Readiness Decision</w:t>
      </w:r>
    </w:p>
    <w:p>
      <w:pPr>
        <w:spacing w:after="40"/>
      </w:pPr>
      <w:r>
        <w:t>☐ Ready to begin formal accessibility testing</w:t>
      </w:r>
    </w:p>
    <w:p>
      <w:pPr>
        <w:spacing w:after="40"/>
      </w:pPr>
      <w:r>
        <w:t>☐ AKOOL accessibility evidence required before integrated ACR can be completed</w:t>
      </w:r>
    </w:p>
    <w:p>
      <w:pPr>
        <w:spacing w:after="40"/>
      </w:pPr>
      <w:r>
        <w:t>☐ Integrated Brightspace testing required</w:t>
      </w:r>
    </w:p>
    <w:p>
      <w:pPr>
        <w:spacing w:after="40"/>
      </w:pPr>
      <w:r>
        <w:t>☐ Remediation required before ACR completion</w:t>
      </w:r>
    </w:p>
    <w:p>
      <w:pPr>
        <w:spacing w:after="40"/>
      </w:pPr>
      <w:r>
        <w:t>☐ Ready for qualified accessibility reviewer to prepare/finalize ACR</w:t>
      </w:r>
    </w:p>
    <w:p>
      <w:r>
        <w:t>Notes / owner / next action:</w:t>
        <w:br/>
        <w:t>________________________________________________________________________________</w:t>
        <w:br/>
        <w:t>________________________________________________________________________________</w:t>
      </w:r>
    </w:p>
    <w:p>
      <w:pPr>
        <w:pStyle w:val="Heading1"/>
      </w:pPr>
      <w:r>
        <w:t>Reference Basis</w:t>
      </w:r>
    </w:p>
    <w:p>
      <w:r>
        <w:t>Checklist criterion names and levels are organized around WCAG 2.2 Level A and Level AA. The final ACR should use the current VPAT template selected for the institution's procurement/accessibility requirements and should be completed against the actual product version and tested scope.</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Accessibility Readiness Resource • © 2026 Dissertation Complete, LLC. All rights reserved.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2B4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72B4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